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6623C" w:rsidP="00F6623C" w:rsidRDefault="0077603B" w14:paraId="20B3D464" w14:textId="3C460FAD">
      <w:pPr>
        <w:jc w:val="center"/>
      </w:pPr>
      <w:r w:rsidRPr="00CA6508">
        <w:rPr>
          <w:rFonts w:ascii="Franklin Gothic Book" w:hAnsi="Franklin Gothic Book" w:eastAsia="Franklin Gothic Book" w:cs="Franklin Gothic Book"/>
          <w:noProof/>
          <w:color w:val="231F20"/>
          <w:szCs w:val="23"/>
          <w:lang w:eastAsia="en-GB"/>
        </w:rPr>
        <w:drawing>
          <wp:inline distT="0" distB="0" distL="0" distR="0" wp14:anchorId="699D27AD" wp14:editId="4D07F59F">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rsidRPr="003C589D" w:rsidR="0077603B" w:rsidP="003C589D" w:rsidRDefault="00520711" w14:paraId="15858DBD" w14:textId="613086FF">
      <w:pPr>
        <w:jc w:val="center"/>
        <w:rPr>
          <w:b/>
        </w:rPr>
      </w:pPr>
      <w:r>
        <w:rPr>
          <w:b/>
        </w:rPr>
        <w:t>Notes of meeting no 9</w:t>
      </w:r>
      <w:r w:rsidRPr="003C589D" w:rsidR="003C589D">
        <w:rPr>
          <w:b/>
        </w:rPr>
        <w:t xml:space="preserve"> of the special, combined JNC</w:t>
      </w:r>
      <w:r w:rsidR="005D0A12">
        <w:rPr>
          <w:b/>
        </w:rPr>
        <w:t xml:space="preserve"> held on Fri</w:t>
      </w:r>
      <w:r w:rsidR="00DF39CF">
        <w:rPr>
          <w:b/>
        </w:rPr>
        <w:t xml:space="preserve">day </w:t>
      </w:r>
      <w:r w:rsidR="00B51492">
        <w:rPr>
          <w:b/>
        </w:rPr>
        <w:t xml:space="preserve">24 </w:t>
      </w:r>
      <w:r w:rsidR="00DF39CF">
        <w:rPr>
          <w:b/>
        </w:rPr>
        <w:t>April 2020</w:t>
      </w:r>
    </w:p>
    <w:p w:rsidR="00F04878" w:rsidP="00F6623C" w:rsidRDefault="00F6623C" w14:paraId="05FF72A9" w14:textId="460ED8E0">
      <w:r w:rsidRPr="765C1A0B" w:rsidR="765C1A0B">
        <w:rPr>
          <w:b w:val="1"/>
          <w:bCs w:val="1"/>
        </w:rPr>
        <w:t>Present (virtually)</w:t>
      </w:r>
      <w:r w:rsidR="765C1A0B">
        <w:rPr/>
        <w:t>: Stephen Shute, Pro Vice Chancellor, (Planning and Resources) (SS); Tim Westlake, Chief Operating Officer (TW); Peter Brook, Interim Director of HR (</w:t>
      </w:r>
      <w:r w:rsidR="765C1A0B">
        <w:rPr/>
        <w:t>PBr</w:t>
      </w:r>
      <w:r w:rsidR="765C1A0B">
        <w:rPr/>
        <w:t>); John Hallam, Interim Assistant Director of HR (ER) (JH); Andrew Chitty (UCU) (AC); Joanne Paul (UCU) (JP); Michael Moran, Regional Officer, UCU (MM); Paula Burr (UNITE) (PB); Daniel Hyndman (UNITE) (DH); Claire Colburn (UNISON) (ClCol); Holly Foster (UNISON); ); Caroline Fife, (UNISON) (CF).</w:t>
      </w:r>
    </w:p>
    <w:p w:rsidR="00483DAD" w:rsidP="00F6623C" w:rsidRDefault="00483DAD" w14:paraId="0D4C7CB8" w14:textId="0F0E5E37">
      <w:r w:rsidRPr="00370E9F">
        <w:rPr>
          <w:b/>
        </w:rPr>
        <w:t>Apologies</w:t>
      </w:r>
      <w:r w:rsidR="00EA1D5C">
        <w:t>: Adam Tickell; Chris Chatwin; Alan Mayers.</w:t>
      </w:r>
    </w:p>
    <w:tbl>
      <w:tblPr>
        <w:tblStyle w:val="TableGrid"/>
        <w:tblW w:w="0" w:type="auto"/>
        <w:tblLook w:val="04A0" w:firstRow="1" w:lastRow="0" w:firstColumn="1" w:lastColumn="0" w:noHBand="0" w:noVBand="1"/>
      </w:tblPr>
      <w:tblGrid>
        <w:gridCol w:w="988"/>
        <w:gridCol w:w="6804"/>
        <w:gridCol w:w="1224"/>
      </w:tblGrid>
      <w:tr w:rsidR="003C589D" w:rsidTr="003C589D" w14:paraId="5B6AF97D" w14:textId="77777777">
        <w:tc>
          <w:tcPr>
            <w:tcW w:w="988" w:type="dxa"/>
          </w:tcPr>
          <w:p w:rsidR="003C589D" w:rsidP="00F6623C" w:rsidRDefault="003C589D" w14:paraId="17183574" w14:textId="77777777"/>
        </w:tc>
        <w:tc>
          <w:tcPr>
            <w:tcW w:w="6804" w:type="dxa"/>
          </w:tcPr>
          <w:p w:rsidR="003C589D" w:rsidP="00F6623C" w:rsidRDefault="003C589D" w14:paraId="16C77304" w14:textId="77777777"/>
        </w:tc>
        <w:tc>
          <w:tcPr>
            <w:tcW w:w="1224" w:type="dxa"/>
          </w:tcPr>
          <w:p w:rsidR="003C589D" w:rsidP="00F6623C" w:rsidRDefault="003C589D" w14:paraId="7C942C0D" w14:textId="0ADC7CA2">
            <w:r>
              <w:t>Actions</w:t>
            </w:r>
          </w:p>
        </w:tc>
      </w:tr>
      <w:tr w:rsidRPr="00DF263E" w:rsidR="00DF263E" w:rsidTr="003C589D" w14:paraId="7B795836" w14:textId="77777777">
        <w:tc>
          <w:tcPr>
            <w:tcW w:w="988" w:type="dxa"/>
          </w:tcPr>
          <w:p w:rsidRPr="00DF263E" w:rsidR="003C589D" w:rsidP="00F6623C" w:rsidRDefault="003C589D" w14:paraId="29896EC4" w14:textId="597BBA79">
            <w:r w:rsidRPr="00DF263E">
              <w:t>1</w:t>
            </w:r>
            <w:r w:rsidR="00EA1D5C">
              <w:t>/9</w:t>
            </w:r>
          </w:p>
          <w:p w:rsidRPr="00DF263E" w:rsidR="00C658FC" w:rsidP="00F6623C" w:rsidRDefault="00C658FC" w14:paraId="31F21989" w14:textId="29A53B9B"/>
        </w:tc>
        <w:tc>
          <w:tcPr>
            <w:tcW w:w="6804" w:type="dxa"/>
          </w:tcPr>
          <w:p w:rsidRPr="00DF263E" w:rsidR="009E0074" w:rsidP="00484850" w:rsidRDefault="00BB2170" w14:paraId="714F5B58" w14:textId="788B7924">
            <w:pPr>
              <w:rPr>
                <w:b/>
                <w:u w:val="single"/>
              </w:rPr>
            </w:pPr>
            <w:r w:rsidRPr="00DF263E">
              <w:rPr>
                <w:b/>
                <w:u w:val="single"/>
              </w:rPr>
              <w:t>Notes of the previous m</w:t>
            </w:r>
            <w:r w:rsidR="00EA1D5C">
              <w:rPr>
                <w:b/>
                <w:u w:val="single"/>
              </w:rPr>
              <w:t>eeting (no 8, 170420)</w:t>
            </w:r>
          </w:p>
          <w:p w:rsidRPr="006129C9" w:rsidR="00FB4CB3" w:rsidP="00F71D41" w:rsidRDefault="006129C9" w14:paraId="2FCA708A" w14:textId="07570DF1">
            <w:r w:rsidRPr="006129C9">
              <w:t>These were agreed as a correc</w:t>
            </w:r>
            <w:r w:rsidR="00EA1D5C">
              <w:t>t record subject to further written comments to be submitted by UCU.</w:t>
            </w:r>
          </w:p>
        </w:tc>
        <w:tc>
          <w:tcPr>
            <w:tcW w:w="1224" w:type="dxa"/>
          </w:tcPr>
          <w:p w:rsidRPr="00DF263E" w:rsidR="003C589D" w:rsidP="00F6623C" w:rsidRDefault="003C589D" w14:paraId="39376B35" w14:textId="77777777"/>
          <w:p w:rsidRPr="00DF263E" w:rsidR="00B2635D" w:rsidP="00F6623C" w:rsidRDefault="00FD6153" w14:paraId="1EBA2746" w14:textId="74C134D5">
            <w:r>
              <w:t>UCU</w:t>
            </w:r>
          </w:p>
          <w:p w:rsidRPr="00DF263E" w:rsidR="00B2635D" w:rsidP="00F6623C" w:rsidRDefault="00B2635D" w14:paraId="044C3AD3" w14:textId="31BA2C77"/>
        </w:tc>
      </w:tr>
      <w:tr w:rsidRPr="00DF263E" w:rsidR="00DF263E" w:rsidTr="003C589D" w14:paraId="721FDE62" w14:textId="77777777">
        <w:tc>
          <w:tcPr>
            <w:tcW w:w="988" w:type="dxa"/>
          </w:tcPr>
          <w:p w:rsidRPr="00DF263E" w:rsidR="003C589D" w:rsidP="00F6623C" w:rsidRDefault="009C5730" w14:paraId="3BC30F86" w14:textId="08D00868">
            <w:bookmarkStart w:name="_GoBack" w:id="0"/>
            <w:r>
              <w:t>2</w:t>
            </w:r>
            <w:r w:rsidR="00EA1D5C">
              <w:t>/9</w:t>
            </w:r>
          </w:p>
        </w:tc>
        <w:tc>
          <w:tcPr>
            <w:tcW w:w="6804" w:type="dxa"/>
          </w:tcPr>
          <w:p w:rsidR="0021288A" w:rsidP="00696B4B" w:rsidRDefault="006129C9" w14:paraId="46FD0748" w14:textId="6FE473A6">
            <w:pPr>
              <w:rPr>
                <w:b/>
                <w:u w:val="single"/>
              </w:rPr>
            </w:pPr>
            <w:r w:rsidRPr="008C4655">
              <w:rPr>
                <w:b/>
                <w:u w:val="single"/>
              </w:rPr>
              <w:t>VC Update</w:t>
            </w:r>
          </w:p>
          <w:p w:rsidR="006B2A9E" w:rsidP="00696B4B" w:rsidRDefault="006B2A9E" w14:paraId="2A358E55" w14:textId="400A4224">
            <w:r w:rsidRPr="006B2A9E">
              <w:t>SS said there had not been much change since the last meeting.</w:t>
            </w:r>
            <w:r w:rsidR="00A555F1">
              <w:t xml:space="preserve"> It was becoming clear that social distancing might continue for a long time. This would present challenges to the educational and learning objectives of the University. It seemed likely the future of some Universities could be at risk longer term. Despite lobbying by UUK, there were no indicati</w:t>
            </w:r>
            <w:r w:rsidR="00257B4B">
              <w:t xml:space="preserve">ons yet that the Treasury was willing to </w:t>
            </w:r>
            <w:r w:rsidR="00A555F1">
              <w:t>underwrite any of the losses being incurred</w:t>
            </w:r>
            <w:r w:rsidR="007D3D4F">
              <w:t xml:space="preserve"> by the sector due to loss o</w:t>
            </w:r>
            <w:r w:rsidR="00A555F1">
              <w:t>f income from accommodation and also international students.</w:t>
            </w:r>
            <w:r w:rsidR="00257B4B">
              <w:t xml:space="preserve"> </w:t>
            </w:r>
            <w:r w:rsidR="00AD1EA7">
              <w:t xml:space="preserve">TW noted that the University of Manchester was anticipating losses of income of between £150m and £270m for 20/21. </w:t>
            </w:r>
            <w:r w:rsidR="00257B4B">
              <w:t xml:space="preserve">In such an environment, mergers might </w:t>
            </w:r>
            <w:r w:rsidR="00AD1EA7">
              <w:t xml:space="preserve">have to </w:t>
            </w:r>
            <w:r w:rsidR="00257B4B">
              <w:t>occur.</w:t>
            </w:r>
            <w:r w:rsidR="00AD1EA7">
              <w:t xml:space="preserve"> It was therefore important to look at different possibilities and options for the future.</w:t>
            </w:r>
          </w:p>
          <w:p w:rsidR="00AD1EA7" w:rsidP="00696B4B" w:rsidRDefault="00AD1EA7" w14:paraId="1AD31607" w14:textId="56943BA7"/>
          <w:p w:rsidR="007836D3" w:rsidP="00696B4B" w:rsidRDefault="00AD1EA7" w14:paraId="009FE423" w14:textId="1E9FAEA8">
            <w:r>
              <w:t xml:space="preserve">AC argued it was not viable for the Government to allow some Universities to fail or face bankruptcy. He did not consider this to be inevitable and noted that Gavin Williamson, Education Secretary, was lobbying the Treasury. MM said that UCU would be happy to join in common cause with the University to lobby the Treasury. SS thanked MM for this offer. </w:t>
            </w:r>
            <w:r w:rsidR="00C171D0">
              <w:t>However, SS noted</w:t>
            </w:r>
            <w:r w:rsidR="009167F5">
              <w:t xml:space="preserve"> tha</w:t>
            </w:r>
            <w:r w:rsidR="00E93D12">
              <w:t>t the Treasury view of UUK’s</w:t>
            </w:r>
            <w:r w:rsidR="009167F5">
              <w:t xml:space="preserve"> lobbying to date </w:t>
            </w:r>
            <w:r w:rsidR="00C171D0">
              <w:t xml:space="preserve">appeared to be ‘sceptical.’ </w:t>
            </w:r>
          </w:p>
          <w:p w:rsidR="007836D3" w:rsidP="00696B4B" w:rsidRDefault="007836D3" w14:paraId="3728DA18" w14:textId="77777777"/>
          <w:p w:rsidRPr="00DF263E" w:rsidR="00035494" w:rsidP="00696B4B" w:rsidRDefault="00AD1EA7" w14:paraId="45376E7B" w14:textId="76DFD3BB">
            <w:r>
              <w:t>AC also said that the unions had now prepared a fully developed set of objections to the ne</w:t>
            </w:r>
            <w:r w:rsidR="002C4B69">
              <w:t>w FRGs that would be published to members shortly</w:t>
            </w:r>
            <w:r w:rsidR="004B2A5E">
              <w:t xml:space="preserve"> and which would be the basis of a campaign</w:t>
            </w:r>
            <w:r w:rsidR="002C4B69">
              <w:t>. AC agreed to circulate a copy of this to the management side.</w:t>
            </w:r>
            <w:r w:rsidR="007836D3">
              <w:t xml:space="preserve"> AC welcomed the suggestion in the VC’s recent update to staff that the HE sector appeared to be setting aside ‘competition’ for ‘collaboration.’ SS said the Government </w:t>
            </w:r>
            <w:r w:rsidR="002203AC">
              <w:t xml:space="preserve">probably </w:t>
            </w:r>
            <w:r w:rsidR="007836D3">
              <w:t>would be looking to achieve a balance which retained student choice alongside an effectively managed sector, avoiding unfettered competition.</w:t>
            </w:r>
          </w:p>
        </w:tc>
        <w:tc>
          <w:tcPr>
            <w:tcW w:w="1224" w:type="dxa"/>
          </w:tcPr>
          <w:p w:rsidR="003C589D" w:rsidP="00F6623C" w:rsidRDefault="003C589D" w14:paraId="04CF6619" w14:textId="77777777"/>
          <w:p w:rsidR="009167F5" w:rsidP="00F6623C" w:rsidRDefault="009167F5" w14:paraId="2250C450" w14:textId="77777777"/>
          <w:p w:rsidR="009167F5" w:rsidP="00F6623C" w:rsidRDefault="009167F5" w14:paraId="3908ADD4" w14:textId="77777777"/>
          <w:p w:rsidR="009167F5" w:rsidP="00F6623C" w:rsidRDefault="009167F5" w14:paraId="150BC407" w14:textId="77777777"/>
          <w:p w:rsidR="009167F5" w:rsidP="00F6623C" w:rsidRDefault="009167F5" w14:paraId="3BDDD39A" w14:textId="77777777"/>
          <w:p w:rsidR="009167F5" w:rsidP="00F6623C" w:rsidRDefault="009167F5" w14:paraId="03D5D675" w14:textId="77777777"/>
          <w:p w:rsidR="009167F5" w:rsidP="00F6623C" w:rsidRDefault="009167F5" w14:paraId="40AE2891" w14:textId="77777777"/>
          <w:p w:rsidR="009167F5" w:rsidP="00F6623C" w:rsidRDefault="009167F5" w14:paraId="5FE9A653" w14:textId="77777777"/>
          <w:p w:rsidR="009167F5" w:rsidP="00F6623C" w:rsidRDefault="009167F5" w14:paraId="0BFE95C5" w14:textId="77777777"/>
          <w:p w:rsidR="009167F5" w:rsidP="00F6623C" w:rsidRDefault="009167F5" w14:paraId="16FAC1B8" w14:textId="77777777"/>
          <w:p w:rsidR="009167F5" w:rsidP="00F6623C" w:rsidRDefault="009167F5" w14:paraId="3DA0C570" w14:textId="77777777"/>
          <w:p w:rsidR="009167F5" w:rsidP="00F6623C" w:rsidRDefault="009167F5" w14:paraId="2789929C" w14:textId="77777777"/>
          <w:p w:rsidR="009167F5" w:rsidP="00F6623C" w:rsidRDefault="009167F5" w14:paraId="4C7D4C15" w14:textId="77777777"/>
          <w:p w:rsidR="009167F5" w:rsidP="00F6623C" w:rsidRDefault="009167F5" w14:paraId="51A66A6A" w14:textId="77777777"/>
          <w:p w:rsidR="009167F5" w:rsidP="00F6623C" w:rsidRDefault="009167F5" w14:paraId="4FC70BE8" w14:textId="77777777"/>
          <w:p w:rsidR="009167F5" w:rsidP="00F6623C" w:rsidRDefault="009167F5" w14:paraId="35C6545B" w14:textId="77777777"/>
          <w:p w:rsidR="009167F5" w:rsidP="00F6623C" w:rsidRDefault="009167F5" w14:paraId="100C65DF" w14:textId="77777777"/>
          <w:p w:rsidR="009167F5" w:rsidP="00F6623C" w:rsidRDefault="009167F5" w14:paraId="2DFFAC47" w14:textId="77777777"/>
          <w:p w:rsidR="009167F5" w:rsidP="00F6623C" w:rsidRDefault="009167F5" w14:paraId="4A8D5480" w14:textId="77777777"/>
          <w:p w:rsidR="009167F5" w:rsidP="00F6623C" w:rsidRDefault="009167F5" w14:paraId="37FCA253" w14:textId="77777777"/>
          <w:p w:rsidR="009167F5" w:rsidP="00F6623C" w:rsidRDefault="009167F5" w14:paraId="34B6673D" w14:textId="77777777"/>
          <w:p w:rsidR="009167F5" w:rsidP="00F6623C" w:rsidRDefault="009167F5" w14:paraId="5E437755" w14:textId="77777777"/>
          <w:p w:rsidR="00CC6818" w:rsidP="00F6623C" w:rsidRDefault="00CC6818" w14:paraId="6FBB0E4D" w14:textId="77777777"/>
          <w:p w:rsidR="00CC6818" w:rsidP="00F6623C" w:rsidRDefault="00CC6818" w14:paraId="662AC822" w14:textId="77777777"/>
          <w:p w:rsidRPr="00DF263E" w:rsidR="009167F5" w:rsidP="00F6623C" w:rsidRDefault="009167F5" w14:paraId="7A96469D" w14:textId="54DABA52">
            <w:r>
              <w:t>AC</w:t>
            </w:r>
          </w:p>
        </w:tc>
      </w:tr>
      <w:bookmarkEnd w:id="0"/>
    </w:tbl>
    <w:p w:rsidR="00954A80" w:rsidRDefault="00954A80" w14:paraId="0A25B547" w14:textId="77777777">
      <w:r>
        <w:br w:type="page"/>
      </w:r>
    </w:p>
    <w:tbl>
      <w:tblPr>
        <w:tblStyle w:val="TableGrid"/>
        <w:tblW w:w="0" w:type="auto"/>
        <w:tblLook w:val="04A0" w:firstRow="1" w:lastRow="0" w:firstColumn="1" w:lastColumn="0" w:noHBand="0" w:noVBand="1"/>
      </w:tblPr>
      <w:tblGrid>
        <w:gridCol w:w="988"/>
        <w:gridCol w:w="6804"/>
        <w:gridCol w:w="1224"/>
      </w:tblGrid>
      <w:tr w:rsidRPr="00DF263E" w:rsidR="00C9619B" w:rsidTr="003C589D" w14:paraId="364BF8FC" w14:textId="77777777">
        <w:tc>
          <w:tcPr>
            <w:tcW w:w="988" w:type="dxa"/>
          </w:tcPr>
          <w:p w:rsidRPr="00DF263E" w:rsidR="00C9619B" w:rsidP="00F6623C" w:rsidRDefault="00ED2145" w14:paraId="0F926869" w14:textId="1C5CF7C6">
            <w:r>
              <w:lastRenderedPageBreak/>
              <w:t>3</w:t>
            </w:r>
            <w:r w:rsidR="00CC5CD4">
              <w:t>/9</w:t>
            </w:r>
          </w:p>
        </w:tc>
        <w:tc>
          <w:tcPr>
            <w:tcW w:w="6804" w:type="dxa"/>
          </w:tcPr>
          <w:p w:rsidR="00954A80" w:rsidP="00194785" w:rsidRDefault="009E3D10" w14:paraId="116CB618" w14:textId="059A4DF4">
            <w:pPr>
              <w:rPr>
                <w:b/>
                <w:u w:val="single"/>
              </w:rPr>
            </w:pPr>
            <w:r w:rsidRPr="009E3D10">
              <w:rPr>
                <w:b/>
                <w:u w:val="single"/>
              </w:rPr>
              <w:t>Voluntary Severance Scheme (VS)</w:t>
            </w:r>
          </w:p>
          <w:p w:rsidRPr="009E3D10" w:rsidR="009E3D10" w:rsidP="00CC5CD4" w:rsidRDefault="00954A80" w14:paraId="7EBC2EA0" w14:textId="496B80E5">
            <w:r>
              <w:t>SS reported that further meetings of the VS sub-group had been held. Design principles had been shared and discussed.</w:t>
            </w:r>
            <w:r w:rsidR="001D6198">
              <w:t xml:space="preserve"> A draft VS scheme had also been circulated, based on those design principles. This would be brought to the JNC</w:t>
            </w:r>
            <w:r w:rsidR="000F7769">
              <w:t xml:space="preserve"> for approval shortly</w:t>
            </w:r>
            <w:r w:rsidR="001D6198">
              <w:t>. The sub-group was making good progress. It was intended to launch the VS scheme in May 2020.</w:t>
            </w:r>
          </w:p>
        </w:tc>
        <w:tc>
          <w:tcPr>
            <w:tcW w:w="1224" w:type="dxa"/>
          </w:tcPr>
          <w:p w:rsidR="00C9619B" w:rsidP="00F6623C" w:rsidRDefault="00C9619B" w14:paraId="43FB7FD4" w14:textId="77777777"/>
          <w:p w:rsidR="00CE24F0" w:rsidP="00F6623C" w:rsidRDefault="00CE24F0" w14:paraId="08251A51" w14:textId="77777777"/>
          <w:p w:rsidR="00CE24F0" w:rsidP="00F6623C" w:rsidRDefault="00CE24F0" w14:paraId="28B04783" w14:textId="77777777"/>
          <w:p w:rsidR="00CE24F0" w:rsidP="00F6623C" w:rsidRDefault="00CE24F0" w14:paraId="13321050" w14:textId="77777777"/>
          <w:p w:rsidR="00CE24F0" w:rsidP="00F6623C" w:rsidRDefault="00CE24F0" w14:paraId="1211FE25" w14:textId="77777777"/>
          <w:p w:rsidRPr="00DF263E" w:rsidR="00CE24F0" w:rsidP="00F6623C" w:rsidRDefault="00CE24F0" w14:paraId="1455AFF5" w14:textId="002D5314">
            <w:r>
              <w:t>PBr</w:t>
            </w:r>
          </w:p>
        </w:tc>
      </w:tr>
      <w:tr w:rsidRPr="00DF263E" w:rsidR="00FB3DB4" w:rsidTr="003C589D" w14:paraId="0EF8C540" w14:textId="77777777">
        <w:tc>
          <w:tcPr>
            <w:tcW w:w="988" w:type="dxa"/>
          </w:tcPr>
          <w:p w:rsidRPr="00DF263E" w:rsidR="00FB3DB4" w:rsidP="00F6623C" w:rsidRDefault="00805B2E" w14:paraId="1ED76A8D" w14:textId="27651BBE">
            <w:r>
              <w:br w:type="page"/>
            </w:r>
            <w:r w:rsidR="00ED2145">
              <w:t>4</w:t>
            </w:r>
            <w:r w:rsidR="00CC5CD4">
              <w:t>/9</w:t>
            </w:r>
          </w:p>
        </w:tc>
        <w:tc>
          <w:tcPr>
            <w:tcW w:w="6804" w:type="dxa"/>
          </w:tcPr>
          <w:p w:rsidR="002B2347" w:rsidP="002B2347" w:rsidRDefault="002B2347" w14:paraId="7D95407A" w14:textId="77777777">
            <w:pPr>
              <w:rPr>
                <w:b/>
                <w:u w:val="single"/>
              </w:rPr>
            </w:pPr>
            <w:r>
              <w:rPr>
                <w:b/>
                <w:u w:val="single"/>
              </w:rPr>
              <w:t>Government Job Retention (JRS – Furlough) Scheme</w:t>
            </w:r>
          </w:p>
          <w:p w:rsidR="002B2347" w:rsidP="002B2347" w:rsidRDefault="002B2347" w14:paraId="61D77E41" w14:textId="27645CBC">
            <w:r w:rsidRPr="00696E68">
              <w:t xml:space="preserve">JP reiterated concerns about the wording of aspects of the </w:t>
            </w:r>
            <w:r>
              <w:t>HR FAQs on covid. It was noted t</w:t>
            </w:r>
            <w:r w:rsidR="008F0F8C">
              <w:t>hese had recently</w:t>
            </w:r>
            <w:r>
              <w:t xml:space="preserve"> been updated. JP said she would review these further. It was suggested all FAQs should have a ‘date last updated’ reference on them. This was agreed.</w:t>
            </w:r>
          </w:p>
          <w:p w:rsidR="002B2347" w:rsidP="002B2347" w:rsidRDefault="002B2347" w14:paraId="23138039" w14:textId="77777777"/>
          <w:p w:rsidRPr="00FB3DB4" w:rsidR="00FB3DB4" w:rsidP="009778E7" w:rsidRDefault="002B2347" w14:paraId="491F58DF" w14:textId="1EE54706">
            <w:r>
              <w:t>PB</w:t>
            </w:r>
            <w:r w:rsidR="00E2758E">
              <w:t>r</w:t>
            </w:r>
            <w:r>
              <w:t xml:space="preserve"> said that</w:t>
            </w:r>
            <w:r w:rsidR="00ED2145">
              <w:t xml:space="preserve"> </w:t>
            </w:r>
            <w:r w:rsidR="00040A5F">
              <w:t>Government guidance on the JRS had been complicated by new guidance which made it clear that any cases submitted would be subject to a ‘public funds’ audit test</w:t>
            </w:r>
            <w:r w:rsidR="008D0CC6">
              <w:t xml:space="preserve"> (i.e. where roles were publicly funded, they would not meet the furlough criteria)</w:t>
            </w:r>
            <w:r w:rsidR="00040A5F">
              <w:t xml:space="preserve">. </w:t>
            </w:r>
            <w:r w:rsidR="00C906F0">
              <w:t xml:space="preserve">HE funding streams were complex. </w:t>
            </w:r>
            <w:r w:rsidR="00040A5F">
              <w:t xml:space="preserve">HR had initially identified with managers around 230 permanent roles that might be ‘furloughed.’ </w:t>
            </w:r>
            <w:r w:rsidR="00F83E56">
              <w:t xml:space="preserve">There were also a number of possible casual roles – not yet fully quantified. </w:t>
            </w:r>
            <w:r w:rsidR="009778E7">
              <w:t xml:space="preserve">HRBPs had been working to identify staff with managers using a set of criteria. </w:t>
            </w:r>
            <w:r w:rsidR="00F83E56">
              <w:t>T</w:t>
            </w:r>
            <w:r w:rsidR="00040A5F">
              <w:t>hese were now being tested against the principle that cases could only be submitted if the role was not publicly funded. TW said it was important that the University submitted bids which were accurate and in the spirit of the furlough scheme. He would be taking a paper to UEG next Wednesday.</w:t>
            </w:r>
            <w:r w:rsidR="00F83E56">
              <w:t xml:space="preserve"> The intention was a submission would be made by 30/4 via the Government’s portal.</w:t>
            </w:r>
            <w:r w:rsidR="00E2758E">
              <w:t xml:space="preserve"> PBr</w:t>
            </w:r>
            <w:r w:rsidR="009778E7">
              <w:t xml:space="preserve"> said he hoped the joint trade unions would support the University’s bids. SS said this was a work in progress and would almost certainly include staff with caring responsibilities – where they met the other scheme criteria. AC said that the unions were supportive of furloughing staff, subject to the concerns identified by JP being addressed.</w:t>
            </w:r>
            <w:r w:rsidR="00AD39DC">
              <w:t xml:space="preserve"> He asked if the criteria being used by HRBPs could be shared?</w:t>
            </w:r>
            <w:r w:rsidR="009778E7">
              <w:t xml:space="preserve"> JP said it was important that JRS was used to protect those most vulnerable. It was important communications about this was undertaken as quickly as possible. Staff were suffering under the current silence. It seemed some staff thought they had already been furloughed. TW confirmed no staff had been furloughed as yet. It was agreed TW and PBr would liaise closely with JP to ensure sh</w:t>
            </w:r>
            <w:r w:rsidR="0094714A">
              <w:t>e was informed of developments</w:t>
            </w:r>
            <w:r w:rsidR="00AD39DC">
              <w:t>.</w:t>
            </w:r>
          </w:p>
        </w:tc>
        <w:tc>
          <w:tcPr>
            <w:tcW w:w="1224" w:type="dxa"/>
          </w:tcPr>
          <w:p w:rsidR="00FB3DB4" w:rsidP="00F6623C" w:rsidRDefault="00FB3DB4" w14:paraId="3842904C" w14:textId="77777777"/>
          <w:p w:rsidR="00245F7D" w:rsidP="00F6623C" w:rsidRDefault="00245F7D" w14:paraId="4D94219D" w14:textId="77777777"/>
          <w:p w:rsidR="00245F7D" w:rsidP="00F6623C" w:rsidRDefault="00245F7D" w14:paraId="0B7D60D9" w14:textId="77777777"/>
          <w:p w:rsidR="00245F7D" w:rsidP="00F6623C" w:rsidRDefault="00245F7D" w14:paraId="28C55471" w14:textId="77777777">
            <w:r>
              <w:t>JH</w:t>
            </w:r>
          </w:p>
          <w:p w:rsidR="008F6246" w:rsidP="00F6623C" w:rsidRDefault="008F6246" w14:paraId="11DC4446" w14:textId="77777777"/>
          <w:p w:rsidR="008F6246" w:rsidP="00F6623C" w:rsidRDefault="008F6246" w14:paraId="2DF14B2E" w14:textId="77777777"/>
          <w:p w:rsidR="008F6246" w:rsidP="00F6623C" w:rsidRDefault="008F6246" w14:paraId="4D99DA12" w14:textId="77777777"/>
          <w:p w:rsidR="008F6246" w:rsidP="00F6623C" w:rsidRDefault="008F6246" w14:paraId="07E6E511" w14:textId="77777777"/>
          <w:p w:rsidR="008F6246" w:rsidP="00F6623C" w:rsidRDefault="008F6246" w14:paraId="6C4D2F22" w14:textId="77777777"/>
          <w:p w:rsidR="008F6246" w:rsidP="00F6623C" w:rsidRDefault="008F6246" w14:paraId="460B8CDA" w14:textId="77777777"/>
          <w:p w:rsidR="008F6246" w:rsidP="00F6623C" w:rsidRDefault="008F6246" w14:paraId="65DBC6A8" w14:textId="77777777"/>
          <w:p w:rsidR="008F6246" w:rsidP="00F6623C" w:rsidRDefault="008F6246" w14:paraId="413D882B" w14:textId="77777777"/>
          <w:p w:rsidR="008F6246" w:rsidP="00F6623C" w:rsidRDefault="008F6246" w14:paraId="4C307A14" w14:textId="77777777"/>
          <w:p w:rsidR="008F6246" w:rsidP="00F6623C" w:rsidRDefault="008F6246" w14:paraId="772DCD76" w14:textId="77777777"/>
          <w:p w:rsidR="008F6246" w:rsidP="00F6623C" w:rsidRDefault="008F6246" w14:paraId="19C091FF" w14:textId="77777777"/>
          <w:p w:rsidR="008F6246" w:rsidP="00F6623C" w:rsidRDefault="008F6246" w14:paraId="63C105E3" w14:textId="77777777"/>
          <w:p w:rsidR="008F6246" w:rsidP="00F6623C" w:rsidRDefault="008F6246" w14:paraId="09FA5FEB" w14:textId="77777777"/>
          <w:p w:rsidR="008F6246" w:rsidP="00F6623C" w:rsidRDefault="008F6246" w14:paraId="49C5D4B4" w14:textId="77777777"/>
          <w:p w:rsidR="008F6246" w:rsidP="00F6623C" w:rsidRDefault="008F6246" w14:paraId="19AD5FBC" w14:textId="77777777"/>
          <w:p w:rsidR="008F6246" w:rsidP="00F6623C" w:rsidRDefault="008F6246" w14:paraId="2716C210" w14:textId="77777777"/>
          <w:p w:rsidR="008F6246" w:rsidP="00F6623C" w:rsidRDefault="008F6246" w14:paraId="586FC29C" w14:textId="77777777"/>
          <w:p w:rsidR="008F6246" w:rsidP="00F6623C" w:rsidRDefault="008F6246" w14:paraId="520D93E1" w14:textId="77777777"/>
          <w:p w:rsidR="008F6246" w:rsidP="00F6623C" w:rsidRDefault="008F6246" w14:paraId="43DD69C0" w14:textId="77777777"/>
          <w:p w:rsidR="008F6246" w:rsidP="00F6623C" w:rsidRDefault="008F6246" w14:paraId="6759D7E5" w14:textId="77777777"/>
          <w:p w:rsidR="008F6246" w:rsidP="00F6623C" w:rsidRDefault="008F6246" w14:paraId="634A5148" w14:textId="77777777"/>
          <w:p w:rsidR="008F6246" w:rsidP="00F6623C" w:rsidRDefault="008F6246" w14:paraId="1770C56A" w14:textId="77777777"/>
          <w:p w:rsidR="008F6246" w:rsidP="00F6623C" w:rsidRDefault="008F6246" w14:paraId="65D2E9C3" w14:textId="77777777"/>
          <w:p w:rsidR="008F6246" w:rsidP="00F6623C" w:rsidRDefault="008F6246" w14:paraId="63C13955" w14:textId="77777777"/>
          <w:p w:rsidR="008F6246" w:rsidP="00F6623C" w:rsidRDefault="008F6246" w14:paraId="5ED6D37D" w14:textId="77777777"/>
          <w:p w:rsidRPr="00DF263E" w:rsidR="008F6246" w:rsidP="00F6623C" w:rsidRDefault="00111820" w14:paraId="52A13EF3" w14:textId="15C5CACA">
            <w:r>
              <w:t>PBr</w:t>
            </w:r>
          </w:p>
        </w:tc>
      </w:tr>
      <w:tr w:rsidRPr="00DF263E" w:rsidR="00D913F5" w:rsidTr="003C589D" w14:paraId="4FC9075F" w14:textId="77777777">
        <w:tc>
          <w:tcPr>
            <w:tcW w:w="988" w:type="dxa"/>
          </w:tcPr>
          <w:p w:rsidRPr="00DF263E" w:rsidR="00D913F5" w:rsidP="005D0A12" w:rsidRDefault="00C906F0" w14:paraId="18A366B2" w14:textId="00B8FD48">
            <w:r>
              <w:t>5/9</w:t>
            </w:r>
          </w:p>
        </w:tc>
        <w:tc>
          <w:tcPr>
            <w:tcW w:w="6804" w:type="dxa"/>
          </w:tcPr>
          <w:p w:rsidRPr="0051778F" w:rsidR="00D913F5" w:rsidP="00194785" w:rsidRDefault="00C906F0" w14:paraId="1F59C5A4" w14:textId="77777777">
            <w:pPr>
              <w:rPr>
                <w:b/>
                <w:u w:val="single"/>
              </w:rPr>
            </w:pPr>
            <w:r w:rsidRPr="0051778F">
              <w:rPr>
                <w:b/>
                <w:u w:val="single"/>
              </w:rPr>
              <w:t>Workers Memorial Day</w:t>
            </w:r>
          </w:p>
          <w:p w:rsidRPr="0051778F" w:rsidR="00C906F0" w:rsidP="00194785" w:rsidRDefault="002E67D6" w14:paraId="4FA769DE" w14:textId="68AED90B">
            <w:r>
              <w:t>CF said that Tuesday 28/4 had been</w:t>
            </w:r>
            <w:r w:rsidRPr="0051778F" w:rsidR="00C906F0">
              <w:t xml:space="preserve"> </w:t>
            </w:r>
            <w:r>
              <w:t xml:space="preserve">designated as </w:t>
            </w:r>
            <w:r w:rsidRPr="0051778F" w:rsidR="00C906F0">
              <w:t>Workers</w:t>
            </w:r>
            <w:r>
              <w:t>’</w:t>
            </w:r>
            <w:r w:rsidRPr="0051778F" w:rsidR="00C906F0">
              <w:t xml:space="preserve"> Memorial Day and a minutes silence would be held at 11.00 a.m. She asked if the University would be encouraging recognition and observance of this.</w:t>
            </w:r>
            <w:r w:rsidR="0051778F">
              <w:t xml:space="preserve"> PBr undertook to make colleagues in External Relations aware of this, if they were not already aware.</w:t>
            </w:r>
          </w:p>
        </w:tc>
        <w:tc>
          <w:tcPr>
            <w:tcW w:w="1224" w:type="dxa"/>
          </w:tcPr>
          <w:p w:rsidR="00D913F5" w:rsidP="00F6623C" w:rsidRDefault="00D913F5" w14:paraId="5E0D4F7C" w14:textId="77777777"/>
          <w:p w:rsidR="0051778F" w:rsidP="00F6623C" w:rsidRDefault="0051778F" w14:paraId="45C42A91" w14:textId="77777777"/>
          <w:p w:rsidR="0051778F" w:rsidP="00F6623C" w:rsidRDefault="0051778F" w14:paraId="75BD19CE" w14:textId="77777777"/>
          <w:p w:rsidRPr="00DF263E" w:rsidR="0051778F" w:rsidP="00F6623C" w:rsidRDefault="0051778F" w14:paraId="6495541F" w14:textId="3D815839">
            <w:r>
              <w:t>PBr</w:t>
            </w:r>
          </w:p>
        </w:tc>
      </w:tr>
      <w:tr w:rsidRPr="00DF263E" w:rsidR="0051778F" w:rsidTr="003C589D" w14:paraId="7BD43897" w14:textId="77777777">
        <w:tc>
          <w:tcPr>
            <w:tcW w:w="988" w:type="dxa"/>
          </w:tcPr>
          <w:p w:rsidRPr="00DF263E" w:rsidR="0051778F" w:rsidP="005D0A12" w:rsidRDefault="0051778F" w14:paraId="03ECF3E5" w14:textId="37C61EA2">
            <w:r>
              <w:t>6/9</w:t>
            </w:r>
          </w:p>
        </w:tc>
        <w:tc>
          <w:tcPr>
            <w:tcW w:w="6804" w:type="dxa"/>
          </w:tcPr>
          <w:p w:rsidRPr="0051778F" w:rsidR="0051778F" w:rsidP="00194785" w:rsidRDefault="0051778F" w14:paraId="05F3CDE4" w14:textId="77777777">
            <w:pPr>
              <w:rPr>
                <w:b/>
                <w:u w:val="single"/>
              </w:rPr>
            </w:pPr>
            <w:r w:rsidRPr="0051778F">
              <w:rPr>
                <w:b/>
                <w:u w:val="single"/>
              </w:rPr>
              <w:t>Vice Chancellors’ Pay</w:t>
            </w:r>
          </w:p>
          <w:p w:rsidRPr="0051778F" w:rsidR="0051778F" w:rsidP="00194785" w:rsidRDefault="0051778F" w14:paraId="345555A2" w14:textId="6563110F">
            <w:r w:rsidRPr="0051778F">
              <w:t xml:space="preserve">AC noted that the </w:t>
            </w:r>
            <w:r w:rsidR="00436F04">
              <w:t xml:space="preserve">recent announcement that </w:t>
            </w:r>
            <w:r w:rsidRPr="0051778F">
              <w:t>VC had taken a voluntary pay cut of 10%.</w:t>
            </w:r>
            <w:r>
              <w:t xml:space="preserve"> He asked if there was any sector co-ordination of the responses of </w:t>
            </w:r>
            <w:r w:rsidR="00436F04">
              <w:t xml:space="preserve">other </w:t>
            </w:r>
            <w:r>
              <w:t>VCs. SS said he was not aware of any such co-ordination – these were individual decisions.</w:t>
            </w:r>
          </w:p>
        </w:tc>
        <w:tc>
          <w:tcPr>
            <w:tcW w:w="1224" w:type="dxa"/>
          </w:tcPr>
          <w:p w:rsidRPr="00DF263E" w:rsidR="0051778F" w:rsidP="00F6623C" w:rsidRDefault="0051778F" w14:paraId="48C2FF98" w14:textId="77777777"/>
        </w:tc>
      </w:tr>
      <w:tr w:rsidRPr="00DF263E" w:rsidR="000379A9" w:rsidTr="003C589D" w14:paraId="4ED92A76" w14:textId="77777777">
        <w:tc>
          <w:tcPr>
            <w:tcW w:w="988" w:type="dxa"/>
          </w:tcPr>
          <w:p w:rsidRPr="00DF263E" w:rsidR="000379A9" w:rsidP="005D0A12" w:rsidRDefault="003F7C11" w14:paraId="58A4B1FC" w14:textId="0542911F">
            <w:r w:rsidRPr="00DF263E">
              <w:br w:type="page"/>
            </w:r>
            <w:r w:rsidR="0051778F">
              <w:t>7</w:t>
            </w:r>
            <w:r w:rsidR="00CC5CD4">
              <w:t>/9</w:t>
            </w:r>
          </w:p>
        </w:tc>
        <w:tc>
          <w:tcPr>
            <w:tcW w:w="6804" w:type="dxa"/>
          </w:tcPr>
          <w:p w:rsidRPr="005F4F47" w:rsidR="002771B6" w:rsidP="00194785" w:rsidRDefault="002771B6" w14:paraId="2492EA63" w14:textId="2D5CA069">
            <w:pPr>
              <w:rPr>
                <w:b/>
                <w:u w:val="single"/>
              </w:rPr>
            </w:pPr>
            <w:r w:rsidRPr="005F4F47">
              <w:rPr>
                <w:b/>
                <w:u w:val="single"/>
              </w:rPr>
              <w:t>Date of next Meeting</w:t>
            </w:r>
          </w:p>
          <w:p w:rsidRPr="00DF263E" w:rsidR="002771B6" w:rsidP="00194785" w:rsidRDefault="002771B6" w14:paraId="414CE451" w14:textId="2062ED2E">
            <w:r w:rsidRPr="00DF263E">
              <w:t>The next joint combin</w:t>
            </w:r>
            <w:r w:rsidR="007713D0">
              <w:t>e</w:t>
            </w:r>
            <w:r w:rsidR="00917FF3">
              <w:t>d meeting was scheduled for Fri</w:t>
            </w:r>
            <w:r w:rsidR="007713D0">
              <w:t xml:space="preserve">day </w:t>
            </w:r>
            <w:r w:rsidR="005D0A12">
              <w:t>24</w:t>
            </w:r>
            <w:r w:rsidRPr="00DF263E">
              <w:t xml:space="preserve">/4 @ </w:t>
            </w:r>
            <w:r w:rsidR="00600AB8">
              <w:t>1</w:t>
            </w:r>
            <w:r w:rsidR="005D0A12">
              <w:t>4</w:t>
            </w:r>
            <w:r w:rsidR="00917FF3">
              <w:t>.00</w:t>
            </w:r>
          </w:p>
        </w:tc>
        <w:tc>
          <w:tcPr>
            <w:tcW w:w="1224" w:type="dxa"/>
          </w:tcPr>
          <w:p w:rsidRPr="00DF263E" w:rsidR="000379A9" w:rsidP="00F6623C" w:rsidRDefault="000379A9" w14:paraId="3DDFD41D" w14:textId="77777777"/>
        </w:tc>
      </w:tr>
    </w:tbl>
    <w:p w:rsidR="005F4F47" w:rsidP="00CC5CD4" w:rsidRDefault="005F4F47" w14:paraId="130C5F91" w14:textId="77777777">
      <w:pPr>
        <w:spacing w:after="0"/>
        <w:rPr>
          <w:b/>
        </w:rPr>
      </w:pPr>
    </w:p>
    <w:p w:rsidRPr="00CC5CD4" w:rsidR="00D33DDC" w:rsidP="00CC5CD4" w:rsidRDefault="00CC5CD4" w14:paraId="04929A95" w14:textId="47D00994">
      <w:pPr>
        <w:spacing w:after="0"/>
        <w:rPr>
          <w:b/>
        </w:rPr>
      </w:pPr>
      <w:r w:rsidRPr="00CC5CD4">
        <w:rPr>
          <w:b/>
        </w:rPr>
        <w:lastRenderedPageBreak/>
        <w:t>Human Resources</w:t>
      </w:r>
    </w:p>
    <w:p w:rsidRPr="00CC5CD4" w:rsidR="00D33DDC" w:rsidP="00CC5CD4" w:rsidRDefault="00CC5CD4" w14:paraId="5025F1B4" w14:textId="64C637A1">
      <w:pPr>
        <w:spacing w:after="0"/>
        <w:rPr>
          <w:b/>
        </w:rPr>
      </w:pPr>
      <w:r w:rsidRPr="00CC5CD4">
        <w:rPr>
          <w:b/>
        </w:rPr>
        <w:t>270420</w:t>
      </w:r>
      <w:r w:rsidRPr="00CC5CD4" w:rsidR="00ED5078">
        <w:rPr>
          <w:b/>
        </w:rPr>
        <w:t xml:space="preserve"> </w:t>
      </w:r>
    </w:p>
    <w:sectPr w:rsidRPr="00CC5CD4" w:rsidR="00D33DDC">
      <w:headerReference w:type="even" r:id="rId9"/>
      <w:headerReference w:type="default" r:id="rId10"/>
      <w:footerReference w:type="default" r:id="rId11"/>
      <w:head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B1" w:rsidP="00483C57" w:rsidRDefault="00907EB1" w14:paraId="7FB4168A" w14:textId="77777777">
      <w:pPr>
        <w:spacing w:after="0" w:line="240" w:lineRule="auto"/>
      </w:pPr>
      <w:r>
        <w:separator/>
      </w:r>
    </w:p>
  </w:endnote>
  <w:endnote w:type="continuationSeparator" w:id="0">
    <w:p w:rsidR="00907EB1" w:rsidP="00483C57" w:rsidRDefault="00907EB1" w14:paraId="15FE91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rsidR="00321D2A" w:rsidRDefault="00321D2A" w14:paraId="1E88F9A4" w14:textId="604018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5149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1492">
              <w:rPr>
                <w:b/>
                <w:bCs/>
                <w:noProof/>
              </w:rPr>
              <w:t>3</w:t>
            </w:r>
            <w:r>
              <w:rPr>
                <w:b/>
                <w:bCs/>
                <w:sz w:val="24"/>
                <w:szCs w:val="24"/>
              </w:rPr>
              <w:fldChar w:fldCharType="end"/>
            </w:r>
          </w:p>
        </w:sdtContent>
      </w:sdt>
    </w:sdtContent>
  </w:sdt>
  <w:p w:rsidR="00321D2A" w:rsidRDefault="00321D2A" w14:paraId="40A4DD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B1" w:rsidP="00483C57" w:rsidRDefault="00907EB1" w14:paraId="3277AC89" w14:textId="77777777">
      <w:pPr>
        <w:spacing w:after="0" w:line="240" w:lineRule="auto"/>
      </w:pPr>
      <w:r>
        <w:separator/>
      </w:r>
    </w:p>
  </w:footnote>
  <w:footnote w:type="continuationSeparator" w:id="0">
    <w:p w:rsidR="00907EB1" w:rsidP="00483C57" w:rsidRDefault="00907EB1" w14:paraId="38FE36F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D5" w:rsidRDefault="00907EB1" w14:paraId="7AFAF9FC" w14:textId="2B2F02B8">
    <w:pPr>
      <w:pStyle w:val="Header"/>
    </w:pPr>
    <w:r>
      <w:rPr>
        <w:noProof/>
      </w:rPr>
      <w:pict w14:anchorId="3C628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4" style="position:absolute;margin-left:0;margin-top:0;width:397.65pt;height:238.6pt;rotation:315;z-index:-251655168;mso-position-horizontal:center;mso-position-horizontal-relative:margin;mso-position-vertical:center;mso-position-vertical-relative:margin" o:spid="_x0000_s2050" o:allowincell="f" fillcolor="gray [1629]"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D5" w:rsidRDefault="00907EB1" w14:paraId="25BC8C15" w14:textId="5EE3EB15">
    <w:pPr>
      <w:pStyle w:val="Header"/>
    </w:pPr>
    <w:r>
      <w:rPr>
        <w:noProof/>
      </w:rPr>
      <w:pict w14:anchorId="710EC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5" style="position:absolute;margin-left:0;margin-top:0;width:397.65pt;height:238.6pt;rotation:315;z-index:-251653120;mso-position-horizontal:center;mso-position-horizontal-relative:margin;mso-position-vertical:center;mso-position-vertical-relative:margin" o:spid="_x0000_s2051" o:allowincell="f" fillcolor="gray [1629]"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D5" w:rsidRDefault="00907EB1" w14:paraId="19793BF8" w14:textId="6B6E462D">
    <w:pPr>
      <w:pStyle w:val="Header"/>
    </w:pPr>
    <w:r>
      <w:rPr>
        <w:noProof/>
      </w:rPr>
      <w:pict w14:anchorId="07DAA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3" style="position:absolute;margin-left:0;margin-top:0;width:397.65pt;height:238.6pt;rotation:315;z-index:-251657216;mso-position-horizontal:center;mso-position-horizontal-relative:margin;mso-position-vertical:center;mso-position-vertical-relative:margin" o:spid="_x0000_s2049" o:allowincell="f" fillcolor="gray [1629]"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66FDE"/>
    <w:multiLevelType w:val="hybridMultilevel"/>
    <w:tmpl w:val="F3D0F4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43050"/>
    <w:multiLevelType w:val="hybridMultilevel"/>
    <w:tmpl w:val="5F18770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1E35"/>
    <w:multiLevelType w:val="hybridMultilevel"/>
    <w:tmpl w:val="7B088326"/>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157DC"/>
    <w:multiLevelType w:val="hybridMultilevel"/>
    <w:tmpl w:val="D9B81A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BFA7F5A"/>
    <w:multiLevelType w:val="hybridMultilevel"/>
    <w:tmpl w:val="36105F80"/>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24FE4"/>
    <w:multiLevelType w:val="hybridMultilevel"/>
    <w:tmpl w:val="900A69C4"/>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F63185"/>
    <w:multiLevelType w:val="hybridMultilevel"/>
    <w:tmpl w:val="3BFA62A2"/>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A343D"/>
    <w:multiLevelType w:val="hybridMultilevel"/>
    <w:tmpl w:val="AEF0A7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DC70B80"/>
    <w:multiLevelType w:val="hybridMultilevel"/>
    <w:tmpl w:val="BFA6D7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11"/>
  </w:num>
  <w:num w:numId="4">
    <w:abstractNumId w:val="3"/>
  </w:num>
  <w:num w:numId="5">
    <w:abstractNumId w:val="12"/>
  </w:num>
  <w:num w:numId="6">
    <w:abstractNumId w:val="0"/>
  </w:num>
  <w:num w:numId="7">
    <w:abstractNumId w:val="14"/>
  </w:num>
  <w:num w:numId="8">
    <w:abstractNumId w:val="13"/>
  </w:num>
  <w:num w:numId="9">
    <w:abstractNumId w:val="1"/>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num>
  <w:num w:numId="15">
    <w:abstractNumId w:val="10"/>
  </w:num>
  <w:num w:numId="16">
    <w:abstractNumId w:val="15"/>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1688"/>
    <w:rsid w:val="00002231"/>
    <w:rsid w:val="000031AB"/>
    <w:rsid w:val="0000717F"/>
    <w:rsid w:val="0000783F"/>
    <w:rsid w:val="0002365D"/>
    <w:rsid w:val="00025E98"/>
    <w:rsid w:val="00035494"/>
    <w:rsid w:val="0003698F"/>
    <w:rsid w:val="000379A9"/>
    <w:rsid w:val="00040A5F"/>
    <w:rsid w:val="000542E8"/>
    <w:rsid w:val="000558A7"/>
    <w:rsid w:val="00056510"/>
    <w:rsid w:val="00072779"/>
    <w:rsid w:val="00095E91"/>
    <w:rsid w:val="00096509"/>
    <w:rsid w:val="000B13DD"/>
    <w:rsid w:val="000B26F2"/>
    <w:rsid w:val="000B3C1F"/>
    <w:rsid w:val="000B4CC8"/>
    <w:rsid w:val="000C0ABE"/>
    <w:rsid w:val="000C0DFB"/>
    <w:rsid w:val="000C7B3D"/>
    <w:rsid w:val="000E038A"/>
    <w:rsid w:val="000E3A96"/>
    <w:rsid w:val="000F0616"/>
    <w:rsid w:val="000F7769"/>
    <w:rsid w:val="00111820"/>
    <w:rsid w:val="00115C91"/>
    <w:rsid w:val="0012370E"/>
    <w:rsid w:val="00131B11"/>
    <w:rsid w:val="00155049"/>
    <w:rsid w:val="00162EC4"/>
    <w:rsid w:val="00186FA2"/>
    <w:rsid w:val="00194785"/>
    <w:rsid w:val="001A68DD"/>
    <w:rsid w:val="001B0604"/>
    <w:rsid w:val="001B0BF9"/>
    <w:rsid w:val="001B35DC"/>
    <w:rsid w:val="001B6339"/>
    <w:rsid w:val="001C00FC"/>
    <w:rsid w:val="001C08F8"/>
    <w:rsid w:val="001C2FE4"/>
    <w:rsid w:val="001C4B30"/>
    <w:rsid w:val="001D2A20"/>
    <w:rsid w:val="001D6198"/>
    <w:rsid w:val="001D658E"/>
    <w:rsid w:val="001F2AC2"/>
    <w:rsid w:val="002011F7"/>
    <w:rsid w:val="00206C1F"/>
    <w:rsid w:val="00212843"/>
    <w:rsid w:val="0021288A"/>
    <w:rsid w:val="002203AC"/>
    <w:rsid w:val="00222D5B"/>
    <w:rsid w:val="00233397"/>
    <w:rsid w:val="00234FA0"/>
    <w:rsid w:val="002373E4"/>
    <w:rsid w:val="00245F7D"/>
    <w:rsid w:val="00246AA0"/>
    <w:rsid w:val="00247F83"/>
    <w:rsid w:val="00257B4B"/>
    <w:rsid w:val="002771B6"/>
    <w:rsid w:val="002A21F1"/>
    <w:rsid w:val="002A2DB8"/>
    <w:rsid w:val="002B2347"/>
    <w:rsid w:val="002C4B69"/>
    <w:rsid w:val="002C6758"/>
    <w:rsid w:val="002E2834"/>
    <w:rsid w:val="002E517A"/>
    <w:rsid w:val="002E67D6"/>
    <w:rsid w:val="002F5F59"/>
    <w:rsid w:val="003061A0"/>
    <w:rsid w:val="003126DC"/>
    <w:rsid w:val="00314BFD"/>
    <w:rsid w:val="003166F3"/>
    <w:rsid w:val="00321D2A"/>
    <w:rsid w:val="00333797"/>
    <w:rsid w:val="0033697D"/>
    <w:rsid w:val="00352E16"/>
    <w:rsid w:val="00356387"/>
    <w:rsid w:val="003600BC"/>
    <w:rsid w:val="00363BCF"/>
    <w:rsid w:val="00365319"/>
    <w:rsid w:val="00370E9F"/>
    <w:rsid w:val="00375BAF"/>
    <w:rsid w:val="003770B2"/>
    <w:rsid w:val="0038010E"/>
    <w:rsid w:val="0039518B"/>
    <w:rsid w:val="003A565B"/>
    <w:rsid w:val="003A780F"/>
    <w:rsid w:val="003B1A36"/>
    <w:rsid w:val="003B77A9"/>
    <w:rsid w:val="003B7B8F"/>
    <w:rsid w:val="003B7FD5"/>
    <w:rsid w:val="003C09F1"/>
    <w:rsid w:val="003C1407"/>
    <w:rsid w:val="003C38E5"/>
    <w:rsid w:val="003C589D"/>
    <w:rsid w:val="003D66DD"/>
    <w:rsid w:val="003E7E69"/>
    <w:rsid w:val="003F1B49"/>
    <w:rsid w:val="003F7C11"/>
    <w:rsid w:val="00402827"/>
    <w:rsid w:val="00403E10"/>
    <w:rsid w:val="00406E63"/>
    <w:rsid w:val="00431120"/>
    <w:rsid w:val="00436F04"/>
    <w:rsid w:val="00444CCE"/>
    <w:rsid w:val="00446231"/>
    <w:rsid w:val="00454B68"/>
    <w:rsid w:val="00461541"/>
    <w:rsid w:val="004667A4"/>
    <w:rsid w:val="004807C6"/>
    <w:rsid w:val="00482AC5"/>
    <w:rsid w:val="004837F0"/>
    <w:rsid w:val="00483C57"/>
    <w:rsid w:val="00483DAD"/>
    <w:rsid w:val="00484850"/>
    <w:rsid w:val="00485AE8"/>
    <w:rsid w:val="004948DB"/>
    <w:rsid w:val="004A0B40"/>
    <w:rsid w:val="004A0EA2"/>
    <w:rsid w:val="004A3B52"/>
    <w:rsid w:val="004A5097"/>
    <w:rsid w:val="004B1A6E"/>
    <w:rsid w:val="004B2A5E"/>
    <w:rsid w:val="004B2C47"/>
    <w:rsid w:val="004B39C3"/>
    <w:rsid w:val="004C1BE2"/>
    <w:rsid w:val="004C2CD2"/>
    <w:rsid w:val="004C7DCC"/>
    <w:rsid w:val="004D70A4"/>
    <w:rsid w:val="004D72FF"/>
    <w:rsid w:val="004E4900"/>
    <w:rsid w:val="004E5821"/>
    <w:rsid w:val="004E6694"/>
    <w:rsid w:val="004E67B8"/>
    <w:rsid w:val="004F3F4D"/>
    <w:rsid w:val="004F7381"/>
    <w:rsid w:val="00505458"/>
    <w:rsid w:val="0051354D"/>
    <w:rsid w:val="0051778F"/>
    <w:rsid w:val="00520711"/>
    <w:rsid w:val="00527B9C"/>
    <w:rsid w:val="00541427"/>
    <w:rsid w:val="00543CDA"/>
    <w:rsid w:val="00555CB1"/>
    <w:rsid w:val="0056095D"/>
    <w:rsid w:val="00570123"/>
    <w:rsid w:val="0058627F"/>
    <w:rsid w:val="005916AD"/>
    <w:rsid w:val="0059196D"/>
    <w:rsid w:val="005A2847"/>
    <w:rsid w:val="005A3430"/>
    <w:rsid w:val="005B4618"/>
    <w:rsid w:val="005C0A1F"/>
    <w:rsid w:val="005C286B"/>
    <w:rsid w:val="005D0A12"/>
    <w:rsid w:val="005E2B71"/>
    <w:rsid w:val="005E3AA5"/>
    <w:rsid w:val="005E4EFA"/>
    <w:rsid w:val="005E60AA"/>
    <w:rsid w:val="005E7057"/>
    <w:rsid w:val="005F19E9"/>
    <w:rsid w:val="005F4F47"/>
    <w:rsid w:val="005F7BC3"/>
    <w:rsid w:val="005F7D39"/>
    <w:rsid w:val="00600AB8"/>
    <w:rsid w:val="0060280E"/>
    <w:rsid w:val="00603AF7"/>
    <w:rsid w:val="006079AE"/>
    <w:rsid w:val="0061280A"/>
    <w:rsid w:val="006129C9"/>
    <w:rsid w:val="00612AB8"/>
    <w:rsid w:val="00612D2D"/>
    <w:rsid w:val="006163C6"/>
    <w:rsid w:val="00627913"/>
    <w:rsid w:val="0063101C"/>
    <w:rsid w:val="006357C9"/>
    <w:rsid w:val="0063725E"/>
    <w:rsid w:val="00643E1F"/>
    <w:rsid w:val="0064675E"/>
    <w:rsid w:val="00657F92"/>
    <w:rsid w:val="00677135"/>
    <w:rsid w:val="006774F3"/>
    <w:rsid w:val="00696B4B"/>
    <w:rsid w:val="00696E68"/>
    <w:rsid w:val="006970FC"/>
    <w:rsid w:val="006A2F16"/>
    <w:rsid w:val="006B2A9E"/>
    <w:rsid w:val="006B5B88"/>
    <w:rsid w:val="006D3170"/>
    <w:rsid w:val="006E00E0"/>
    <w:rsid w:val="006E21C1"/>
    <w:rsid w:val="00714A2F"/>
    <w:rsid w:val="007261EE"/>
    <w:rsid w:val="007312C2"/>
    <w:rsid w:val="00740DB2"/>
    <w:rsid w:val="00741114"/>
    <w:rsid w:val="0074384A"/>
    <w:rsid w:val="00746047"/>
    <w:rsid w:val="00746C7B"/>
    <w:rsid w:val="007539AF"/>
    <w:rsid w:val="007713D0"/>
    <w:rsid w:val="00772008"/>
    <w:rsid w:val="0077603B"/>
    <w:rsid w:val="0078234E"/>
    <w:rsid w:val="007836D3"/>
    <w:rsid w:val="00784006"/>
    <w:rsid w:val="00797D55"/>
    <w:rsid w:val="007A1AEA"/>
    <w:rsid w:val="007B4229"/>
    <w:rsid w:val="007B7EDA"/>
    <w:rsid w:val="007C0B4B"/>
    <w:rsid w:val="007C3236"/>
    <w:rsid w:val="007D1A2C"/>
    <w:rsid w:val="007D359D"/>
    <w:rsid w:val="007D3D4F"/>
    <w:rsid w:val="007E03BD"/>
    <w:rsid w:val="007E2C2F"/>
    <w:rsid w:val="007E7D6E"/>
    <w:rsid w:val="007F3403"/>
    <w:rsid w:val="007F4228"/>
    <w:rsid w:val="007F4A88"/>
    <w:rsid w:val="00805B2E"/>
    <w:rsid w:val="00813A3D"/>
    <w:rsid w:val="008160A2"/>
    <w:rsid w:val="0083006A"/>
    <w:rsid w:val="00833125"/>
    <w:rsid w:val="00842027"/>
    <w:rsid w:val="0085731E"/>
    <w:rsid w:val="00863C00"/>
    <w:rsid w:val="00871498"/>
    <w:rsid w:val="008739B3"/>
    <w:rsid w:val="008752FF"/>
    <w:rsid w:val="00876197"/>
    <w:rsid w:val="008872E4"/>
    <w:rsid w:val="008A3910"/>
    <w:rsid w:val="008A5B54"/>
    <w:rsid w:val="008A6D45"/>
    <w:rsid w:val="008B00E2"/>
    <w:rsid w:val="008B4C01"/>
    <w:rsid w:val="008B772B"/>
    <w:rsid w:val="008C4349"/>
    <w:rsid w:val="008C4655"/>
    <w:rsid w:val="008D0CC6"/>
    <w:rsid w:val="008E0D88"/>
    <w:rsid w:val="008E26B9"/>
    <w:rsid w:val="008E5F8A"/>
    <w:rsid w:val="008E7E3B"/>
    <w:rsid w:val="008F0F8C"/>
    <w:rsid w:val="008F2507"/>
    <w:rsid w:val="008F6246"/>
    <w:rsid w:val="009017E3"/>
    <w:rsid w:val="00907EB1"/>
    <w:rsid w:val="00910661"/>
    <w:rsid w:val="009167F5"/>
    <w:rsid w:val="00917FF3"/>
    <w:rsid w:val="00933446"/>
    <w:rsid w:val="009367A7"/>
    <w:rsid w:val="009372B3"/>
    <w:rsid w:val="00941B34"/>
    <w:rsid w:val="0094714A"/>
    <w:rsid w:val="009509FD"/>
    <w:rsid w:val="00954A80"/>
    <w:rsid w:val="00962571"/>
    <w:rsid w:val="009771CF"/>
    <w:rsid w:val="009778E7"/>
    <w:rsid w:val="00985CEC"/>
    <w:rsid w:val="00986F6F"/>
    <w:rsid w:val="009914F8"/>
    <w:rsid w:val="00994F11"/>
    <w:rsid w:val="009A2E87"/>
    <w:rsid w:val="009A5EFC"/>
    <w:rsid w:val="009B41F3"/>
    <w:rsid w:val="009C5730"/>
    <w:rsid w:val="009D7FE9"/>
    <w:rsid w:val="009E0074"/>
    <w:rsid w:val="009E3D10"/>
    <w:rsid w:val="009E4EBA"/>
    <w:rsid w:val="009F1B0D"/>
    <w:rsid w:val="009F7611"/>
    <w:rsid w:val="00A006FA"/>
    <w:rsid w:val="00A0638F"/>
    <w:rsid w:val="00A1296A"/>
    <w:rsid w:val="00A13A46"/>
    <w:rsid w:val="00A20366"/>
    <w:rsid w:val="00A2437D"/>
    <w:rsid w:val="00A376B6"/>
    <w:rsid w:val="00A555F1"/>
    <w:rsid w:val="00A60E38"/>
    <w:rsid w:val="00A64161"/>
    <w:rsid w:val="00A647F7"/>
    <w:rsid w:val="00A81982"/>
    <w:rsid w:val="00A82DFA"/>
    <w:rsid w:val="00A90324"/>
    <w:rsid w:val="00AA09FF"/>
    <w:rsid w:val="00AA0F31"/>
    <w:rsid w:val="00AA2A1F"/>
    <w:rsid w:val="00AA6F27"/>
    <w:rsid w:val="00AB09B3"/>
    <w:rsid w:val="00AC124C"/>
    <w:rsid w:val="00AC2707"/>
    <w:rsid w:val="00AC4460"/>
    <w:rsid w:val="00AD1EA7"/>
    <w:rsid w:val="00AD39DC"/>
    <w:rsid w:val="00AE00D7"/>
    <w:rsid w:val="00AE5D06"/>
    <w:rsid w:val="00AF04E8"/>
    <w:rsid w:val="00AF063E"/>
    <w:rsid w:val="00B01466"/>
    <w:rsid w:val="00B043B5"/>
    <w:rsid w:val="00B220C7"/>
    <w:rsid w:val="00B261EA"/>
    <w:rsid w:val="00B2635D"/>
    <w:rsid w:val="00B36A51"/>
    <w:rsid w:val="00B51492"/>
    <w:rsid w:val="00B62007"/>
    <w:rsid w:val="00B7161F"/>
    <w:rsid w:val="00B72CC5"/>
    <w:rsid w:val="00B7442E"/>
    <w:rsid w:val="00B810A0"/>
    <w:rsid w:val="00B8564F"/>
    <w:rsid w:val="00B85F6C"/>
    <w:rsid w:val="00B94D33"/>
    <w:rsid w:val="00B97B0C"/>
    <w:rsid w:val="00BA0937"/>
    <w:rsid w:val="00BB2170"/>
    <w:rsid w:val="00BB715B"/>
    <w:rsid w:val="00BC0EA7"/>
    <w:rsid w:val="00BC6738"/>
    <w:rsid w:val="00BD057F"/>
    <w:rsid w:val="00BD08D8"/>
    <w:rsid w:val="00BD43B6"/>
    <w:rsid w:val="00BE0F58"/>
    <w:rsid w:val="00BE2BBD"/>
    <w:rsid w:val="00BE2DC6"/>
    <w:rsid w:val="00BE40D2"/>
    <w:rsid w:val="00C02DCE"/>
    <w:rsid w:val="00C07BA9"/>
    <w:rsid w:val="00C12A41"/>
    <w:rsid w:val="00C171D0"/>
    <w:rsid w:val="00C24B37"/>
    <w:rsid w:val="00C26B57"/>
    <w:rsid w:val="00C31531"/>
    <w:rsid w:val="00C32EFE"/>
    <w:rsid w:val="00C40B1A"/>
    <w:rsid w:val="00C41EDB"/>
    <w:rsid w:val="00C47DC8"/>
    <w:rsid w:val="00C53368"/>
    <w:rsid w:val="00C55CE5"/>
    <w:rsid w:val="00C638AB"/>
    <w:rsid w:val="00C651FC"/>
    <w:rsid w:val="00C65403"/>
    <w:rsid w:val="00C658FC"/>
    <w:rsid w:val="00C74730"/>
    <w:rsid w:val="00C76C2E"/>
    <w:rsid w:val="00C864EF"/>
    <w:rsid w:val="00C86FDA"/>
    <w:rsid w:val="00C906F0"/>
    <w:rsid w:val="00C9619B"/>
    <w:rsid w:val="00CA7EB2"/>
    <w:rsid w:val="00CC1145"/>
    <w:rsid w:val="00CC5CD4"/>
    <w:rsid w:val="00CC6818"/>
    <w:rsid w:val="00CC7D85"/>
    <w:rsid w:val="00CD7A73"/>
    <w:rsid w:val="00CE24F0"/>
    <w:rsid w:val="00CF063E"/>
    <w:rsid w:val="00CF0DCA"/>
    <w:rsid w:val="00CF519F"/>
    <w:rsid w:val="00D01AC0"/>
    <w:rsid w:val="00D2094A"/>
    <w:rsid w:val="00D27930"/>
    <w:rsid w:val="00D3203B"/>
    <w:rsid w:val="00D33DDC"/>
    <w:rsid w:val="00D408C1"/>
    <w:rsid w:val="00D41C2C"/>
    <w:rsid w:val="00D46A18"/>
    <w:rsid w:val="00D61F53"/>
    <w:rsid w:val="00D65BED"/>
    <w:rsid w:val="00D76F32"/>
    <w:rsid w:val="00D80627"/>
    <w:rsid w:val="00D90C03"/>
    <w:rsid w:val="00D913F5"/>
    <w:rsid w:val="00D91FC4"/>
    <w:rsid w:val="00D94EDC"/>
    <w:rsid w:val="00D95606"/>
    <w:rsid w:val="00DA1288"/>
    <w:rsid w:val="00DA1EC1"/>
    <w:rsid w:val="00DA518A"/>
    <w:rsid w:val="00DB2A94"/>
    <w:rsid w:val="00DC66B8"/>
    <w:rsid w:val="00DD26A8"/>
    <w:rsid w:val="00DD7083"/>
    <w:rsid w:val="00DE130A"/>
    <w:rsid w:val="00DF263E"/>
    <w:rsid w:val="00DF2F8F"/>
    <w:rsid w:val="00DF39CF"/>
    <w:rsid w:val="00DF79B6"/>
    <w:rsid w:val="00E02EB0"/>
    <w:rsid w:val="00E07B1C"/>
    <w:rsid w:val="00E109A3"/>
    <w:rsid w:val="00E1124C"/>
    <w:rsid w:val="00E122E5"/>
    <w:rsid w:val="00E13F72"/>
    <w:rsid w:val="00E15B33"/>
    <w:rsid w:val="00E20933"/>
    <w:rsid w:val="00E25154"/>
    <w:rsid w:val="00E2758E"/>
    <w:rsid w:val="00E33E21"/>
    <w:rsid w:val="00E747AC"/>
    <w:rsid w:val="00E76FDD"/>
    <w:rsid w:val="00E80176"/>
    <w:rsid w:val="00E92DFB"/>
    <w:rsid w:val="00E931E9"/>
    <w:rsid w:val="00E93D12"/>
    <w:rsid w:val="00EA12BC"/>
    <w:rsid w:val="00EA1D5C"/>
    <w:rsid w:val="00EA7D5D"/>
    <w:rsid w:val="00EB09C1"/>
    <w:rsid w:val="00EB3C8B"/>
    <w:rsid w:val="00EC0D1F"/>
    <w:rsid w:val="00ED2145"/>
    <w:rsid w:val="00ED5078"/>
    <w:rsid w:val="00EE2745"/>
    <w:rsid w:val="00EE3709"/>
    <w:rsid w:val="00EE4D0A"/>
    <w:rsid w:val="00EF148F"/>
    <w:rsid w:val="00EF6730"/>
    <w:rsid w:val="00F04878"/>
    <w:rsid w:val="00F06F46"/>
    <w:rsid w:val="00F164EA"/>
    <w:rsid w:val="00F206E0"/>
    <w:rsid w:val="00F21788"/>
    <w:rsid w:val="00F219B2"/>
    <w:rsid w:val="00F242B3"/>
    <w:rsid w:val="00F325C7"/>
    <w:rsid w:val="00F34FF0"/>
    <w:rsid w:val="00F42F7D"/>
    <w:rsid w:val="00F45A7C"/>
    <w:rsid w:val="00F6623C"/>
    <w:rsid w:val="00F70C24"/>
    <w:rsid w:val="00F71D41"/>
    <w:rsid w:val="00F746EF"/>
    <w:rsid w:val="00F8043E"/>
    <w:rsid w:val="00F823F2"/>
    <w:rsid w:val="00F8275D"/>
    <w:rsid w:val="00F83615"/>
    <w:rsid w:val="00F83671"/>
    <w:rsid w:val="00F83E56"/>
    <w:rsid w:val="00F86294"/>
    <w:rsid w:val="00F962F2"/>
    <w:rsid w:val="00FB3DB4"/>
    <w:rsid w:val="00FB4CB3"/>
    <w:rsid w:val="00FC378E"/>
    <w:rsid w:val="00FC38C0"/>
    <w:rsid w:val="00FC790B"/>
    <w:rsid w:val="00FD13B4"/>
    <w:rsid w:val="00FD6153"/>
    <w:rsid w:val="00FE0CB5"/>
    <w:rsid w:val="00FE519C"/>
    <w:rsid w:val="00FE5820"/>
    <w:rsid w:val="00FF166D"/>
    <w:rsid w:val="00FF36CB"/>
    <w:rsid w:val="00FF39DB"/>
    <w:rsid w:val="765C1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6E828"/>
  <w15:docId w15:val="{02EF41EA-C695-447B-AFCA-B7F785E1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styleId="FooterChar" w:customStyle="1">
    <w:name w:val="Footer Char"/>
    <w:basedOn w:val="DefaultParagraphFont"/>
    <w:link w:val="Footer"/>
    <w:uiPriority w:val="99"/>
    <w:rsid w:val="007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glossaryDocument" Target="/word/glossary/document.xml" Id="R360db3a5988649a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effbc1-639f-47d6-a10f-4d2e4412c38e}"/>
      </w:docPartPr>
      <w:docPartBody>
        <w:p w14:paraId="765C1A0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8F4F-8AC2-470C-BAD4-0A7A1EAE2A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Sussex</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John Hallam</dc:creator>
  <lastModifiedBy>John Hallam</lastModifiedBy>
  <revision>62</revision>
  <lastPrinted>2019-04-10T09:05:00.0000000Z</lastPrinted>
  <dcterms:created xsi:type="dcterms:W3CDTF">2020-04-27T09:58:00.0000000Z</dcterms:created>
  <dcterms:modified xsi:type="dcterms:W3CDTF">2020-05-12T15:55:59.8156628Z</dcterms:modified>
</coreProperties>
</file>